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ההבדל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פסח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  <w:rtl w:val="1"/>
        </w:rPr>
        <w:t xml:space="preserve">לשני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585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54"/>
        <w:gridCol w:w="3600"/>
        <w:gridCol w:w="3231"/>
        <w:tblGridChange w:id="0">
          <w:tblGrid>
            <w:gridCol w:w="1754"/>
            <w:gridCol w:w="3600"/>
            <w:gridCol w:w="3231"/>
          </w:tblGrid>
        </w:tblGridChange>
      </w:tblGrid>
      <w:tr>
        <w:trPr>
          <w:cantSplit w:val="0"/>
          <w:trHeight w:val="788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  <w:rtl w:val="1"/>
              </w:rPr>
              <w:t xml:space="preserve">ראשון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  <w:rtl w:val="1"/>
              </w:rPr>
              <w:t xml:space="preserve">פסח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3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חוגג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top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2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תאריך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3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ימים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3" w:hRule="atLeast"/>
          <w:tblHeader w:val="0"/>
        </w:trPr>
        <w:tc>
          <w:tcPr>
            <w:tcBorders>
              <w:left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החמץ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</w:tc>
        <w:tc>
          <w:tcPr>
            <w:tcBorders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24" w:val="single"/>
              <w:right w:color="000000" w:space="0" w:sz="2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56"/>
                <w:szCs w:val="56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56"/>
          <w:szCs w:val="5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