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3995" w:rsidRPr="002F3995" w:rsidRDefault="002F3995" w:rsidP="002F3995">
      <w:pPr>
        <w:pStyle w:val="1"/>
      </w:pPr>
      <w:r w:rsidRPr="002F3995">
        <w:rPr>
          <w:rtl/>
        </w:rPr>
        <w:t>תשובה</w:t>
      </w:r>
    </w:p>
    <w:p w:rsidR="002F3995" w:rsidRPr="002F3995" w:rsidRDefault="002F3995" w:rsidP="002F3995">
      <w:pPr>
        <w:spacing w:line="360" w:lineRule="auto"/>
        <w:rPr>
          <w:sz w:val="24"/>
          <w:szCs w:val="24"/>
        </w:rPr>
      </w:pPr>
      <w:r w:rsidRPr="002F3995">
        <w:rPr>
          <w:sz w:val="24"/>
          <w:szCs w:val="24"/>
          <w:rtl/>
        </w:rPr>
        <w:t xml:space="preserve">תשובה היא האפשרות לתקן, לחזור לסדר החיים הנכון. איך עושים זאת? איך ניתן לתקן עברה שכבר נעשתה? מה נדרש מאיתנו? האם תשובה היא רק מעבירה, או שהיא תיאור מצב של תנועה מתמדת לעיצוב זהות אישית וחברתית טובה יותר?  </w:t>
      </w:r>
    </w:p>
    <w:p w:rsidR="002F3995" w:rsidRPr="002F3995" w:rsidRDefault="00F40313" w:rsidP="002F3995">
      <w:pPr>
        <w:pStyle w:val="1"/>
      </w:pPr>
      <w:r>
        <w:rPr>
          <w:rFonts w:hint="cs"/>
          <w:rtl/>
        </w:rPr>
        <w:t xml:space="preserve">חלק </w:t>
      </w:r>
      <w:r w:rsidR="002F3995" w:rsidRPr="002F3995">
        <w:rPr>
          <w:rtl/>
        </w:rPr>
        <w:t>א. מהי תשובה?</w:t>
      </w:r>
    </w:p>
    <w:p w:rsidR="002F3995" w:rsidRPr="002F3995" w:rsidRDefault="002F3995" w:rsidP="002F3995">
      <w:pPr>
        <w:pStyle w:val="2"/>
      </w:pPr>
      <w:r w:rsidRPr="002F3995">
        <w:rPr>
          <w:rtl/>
        </w:rPr>
        <w:t xml:space="preserve"> הרב משה בן מיימון, הרמב"ם, הלכות תשובה פרק א הלכה א </w:t>
      </w:r>
      <w:r>
        <w:rPr>
          <w:rFonts w:hint="cs"/>
          <w:rtl/>
        </w:rPr>
        <w:t>(עמ' 35)</w:t>
      </w:r>
    </w:p>
    <w:p w:rsidR="002F3995" w:rsidRDefault="002F3995" w:rsidP="002F3995">
      <w:pPr>
        <w:pStyle w:val="a3"/>
        <w:numPr>
          <w:ilvl w:val="0"/>
          <w:numId w:val="1"/>
        </w:numPr>
        <w:spacing w:line="360" w:lineRule="auto"/>
        <w:rPr>
          <w:sz w:val="24"/>
          <w:szCs w:val="24"/>
        </w:rPr>
      </w:pPr>
      <w:r>
        <w:rPr>
          <w:rFonts w:hint="cs"/>
          <w:sz w:val="24"/>
          <w:szCs w:val="24"/>
          <w:rtl/>
        </w:rPr>
        <w:t>סכם בקצרה את תולדות חייו של הרמב"ם!</w:t>
      </w:r>
    </w:p>
    <w:p w:rsidR="002F3995" w:rsidRPr="002F3995" w:rsidRDefault="002F3995" w:rsidP="002F3995">
      <w:pPr>
        <w:pStyle w:val="a3"/>
        <w:numPr>
          <w:ilvl w:val="0"/>
          <w:numId w:val="1"/>
        </w:numPr>
        <w:spacing w:line="360" w:lineRule="auto"/>
        <w:rPr>
          <w:sz w:val="24"/>
          <w:szCs w:val="24"/>
        </w:rPr>
      </w:pPr>
      <w:r w:rsidRPr="002F3995">
        <w:rPr>
          <w:sz w:val="24"/>
          <w:szCs w:val="24"/>
          <w:rtl/>
        </w:rPr>
        <w:t>מהם שלושת חלקי הוידוי?</w:t>
      </w:r>
    </w:p>
    <w:p w:rsidR="002F3995" w:rsidRPr="002F3995" w:rsidRDefault="002F3995" w:rsidP="002F3995">
      <w:pPr>
        <w:pStyle w:val="a3"/>
        <w:numPr>
          <w:ilvl w:val="0"/>
          <w:numId w:val="1"/>
        </w:numPr>
        <w:spacing w:line="360" w:lineRule="auto"/>
        <w:rPr>
          <w:sz w:val="24"/>
          <w:szCs w:val="24"/>
        </w:rPr>
      </w:pPr>
      <w:r w:rsidRPr="002F3995">
        <w:rPr>
          <w:sz w:val="24"/>
          <w:szCs w:val="24"/>
          <w:rtl/>
        </w:rPr>
        <w:t xml:space="preserve">מדוע גם מי שחבל בחברו או הזיק לו חייב להתוודות? מה מלמדת עובדה זו על חומרת העבירה? </w:t>
      </w:r>
    </w:p>
    <w:p w:rsidR="002F3995" w:rsidRPr="002F3995" w:rsidRDefault="002F3995" w:rsidP="002F3995">
      <w:pPr>
        <w:pStyle w:val="a3"/>
        <w:numPr>
          <w:ilvl w:val="0"/>
          <w:numId w:val="1"/>
        </w:numPr>
        <w:spacing w:line="360" w:lineRule="auto"/>
        <w:rPr>
          <w:sz w:val="24"/>
          <w:szCs w:val="24"/>
        </w:rPr>
      </w:pPr>
      <w:r w:rsidRPr="002F3995">
        <w:rPr>
          <w:sz w:val="24"/>
          <w:szCs w:val="24"/>
          <w:rtl/>
        </w:rPr>
        <w:t>מדוע הוידוי כל כך חשוב בתהליך התשובה?</w:t>
      </w:r>
    </w:p>
    <w:p w:rsidR="002F3995" w:rsidRPr="002F3995" w:rsidRDefault="002F3995" w:rsidP="002F3995">
      <w:pPr>
        <w:pStyle w:val="a3"/>
        <w:numPr>
          <w:ilvl w:val="0"/>
          <w:numId w:val="1"/>
        </w:numPr>
        <w:spacing w:line="360" w:lineRule="auto"/>
        <w:rPr>
          <w:sz w:val="24"/>
          <w:szCs w:val="24"/>
        </w:rPr>
      </w:pPr>
      <w:r w:rsidRPr="002F3995">
        <w:rPr>
          <w:sz w:val="24"/>
          <w:szCs w:val="24"/>
          <w:rtl/>
        </w:rPr>
        <w:t xml:space="preserve">סכם הלכה זו במשפט אחד. </w:t>
      </w:r>
    </w:p>
    <w:p w:rsidR="002F3995" w:rsidRPr="00193EBD" w:rsidRDefault="002F3995" w:rsidP="00193EBD">
      <w:pPr>
        <w:rPr>
          <w:rtl/>
        </w:rPr>
      </w:pPr>
    </w:p>
    <w:p w:rsidR="002F3995" w:rsidRPr="002F3995" w:rsidRDefault="002F3995" w:rsidP="002F3995">
      <w:pPr>
        <w:pStyle w:val="2"/>
      </w:pPr>
      <w:r w:rsidRPr="002F3995">
        <w:rPr>
          <w:rtl/>
        </w:rPr>
        <w:t>הרב משה בן מיימון, רמב"ם הלכות תשובה, פרק ב הלכות ב, ט-י</w:t>
      </w:r>
      <w:r>
        <w:rPr>
          <w:rFonts w:hint="cs"/>
          <w:rtl/>
        </w:rPr>
        <w:t>(עמ' 35-36)</w:t>
      </w:r>
    </w:p>
    <w:p w:rsidR="002F3995" w:rsidRPr="002F3995" w:rsidRDefault="002F3995" w:rsidP="002F3995">
      <w:pPr>
        <w:pStyle w:val="a3"/>
        <w:numPr>
          <w:ilvl w:val="0"/>
          <w:numId w:val="1"/>
        </w:numPr>
        <w:spacing w:line="360" w:lineRule="auto"/>
        <w:rPr>
          <w:sz w:val="24"/>
          <w:szCs w:val="24"/>
        </w:rPr>
      </w:pPr>
      <w:r w:rsidRPr="002F3995">
        <w:rPr>
          <w:sz w:val="24"/>
          <w:szCs w:val="24"/>
          <w:rtl/>
        </w:rPr>
        <w:t>מה הנושא המרכזי בהלכה ב'?</w:t>
      </w:r>
    </w:p>
    <w:p w:rsidR="002F3995" w:rsidRPr="002F3995" w:rsidRDefault="002F3995" w:rsidP="002F3995">
      <w:pPr>
        <w:pStyle w:val="a3"/>
        <w:numPr>
          <w:ilvl w:val="0"/>
          <w:numId w:val="1"/>
        </w:numPr>
        <w:spacing w:line="360" w:lineRule="auto"/>
        <w:rPr>
          <w:sz w:val="24"/>
          <w:szCs w:val="24"/>
        </w:rPr>
      </w:pPr>
      <w:r w:rsidRPr="002F3995">
        <w:rPr>
          <w:sz w:val="24"/>
          <w:szCs w:val="24"/>
          <w:rtl/>
        </w:rPr>
        <w:t>הרמב"ם כותב בתחילת ההלכה "ומה היא התשובה?", כתוב את חלקי התשובה על פי רמב"ם.</w:t>
      </w:r>
    </w:p>
    <w:p w:rsidR="002F3995" w:rsidRPr="002F3995" w:rsidRDefault="002F3995" w:rsidP="002F3995">
      <w:pPr>
        <w:pStyle w:val="a3"/>
        <w:numPr>
          <w:ilvl w:val="0"/>
          <w:numId w:val="1"/>
        </w:numPr>
        <w:spacing w:line="360" w:lineRule="auto"/>
        <w:rPr>
          <w:sz w:val="24"/>
          <w:szCs w:val="24"/>
        </w:rPr>
      </w:pPr>
      <w:r w:rsidRPr="002F3995">
        <w:rPr>
          <w:sz w:val="24"/>
          <w:szCs w:val="24"/>
          <w:rtl/>
        </w:rPr>
        <w:t>האם לפי חלקי התשובה על פי רמב"ם אדם יכול לדעת שחזר בתשובה או לא? חזק דבריך מהקטע.</w:t>
      </w:r>
    </w:p>
    <w:p w:rsidR="002F3995" w:rsidRPr="002F3995" w:rsidRDefault="002F3995" w:rsidP="002F3995">
      <w:pPr>
        <w:pStyle w:val="a3"/>
        <w:numPr>
          <w:ilvl w:val="0"/>
          <w:numId w:val="1"/>
        </w:numPr>
        <w:spacing w:line="360" w:lineRule="auto"/>
        <w:rPr>
          <w:sz w:val="24"/>
          <w:szCs w:val="24"/>
        </w:rPr>
      </w:pPr>
      <w:r w:rsidRPr="002F3995">
        <w:rPr>
          <w:sz w:val="24"/>
          <w:szCs w:val="24"/>
          <w:rtl/>
        </w:rPr>
        <w:t>מה הנושא המרכזי של הלכה ט'.</w:t>
      </w:r>
    </w:p>
    <w:p w:rsidR="002F3995" w:rsidRPr="002F3995" w:rsidRDefault="002F3995" w:rsidP="002F3995">
      <w:pPr>
        <w:pStyle w:val="a3"/>
        <w:numPr>
          <w:ilvl w:val="0"/>
          <w:numId w:val="1"/>
        </w:numPr>
        <w:spacing w:line="360" w:lineRule="auto"/>
        <w:rPr>
          <w:sz w:val="24"/>
          <w:szCs w:val="24"/>
        </w:rPr>
      </w:pPr>
      <w:r w:rsidRPr="002F3995">
        <w:rPr>
          <w:sz w:val="24"/>
          <w:szCs w:val="24"/>
          <w:rtl/>
        </w:rPr>
        <w:t>מדוע לא די בהחזרת ממון גזול לנגזל?</w:t>
      </w:r>
    </w:p>
    <w:p w:rsidR="002F3995" w:rsidRDefault="002F3995" w:rsidP="002F3995">
      <w:pPr>
        <w:pStyle w:val="a3"/>
        <w:spacing w:line="360" w:lineRule="auto"/>
        <w:ind w:left="360"/>
        <w:rPr>
          <w:b/>
          <w:sz w:val="24"/>
          <w:szCs w:val="24"/>
          <w:rtl/>
        </w:rPr>
      </w:pPr>
    </w:p>
    <w:p w:rsidR="002F3995" w:rsidRPr="002F3995" w:rsidRDefault="002F3995" w:rsidP="002F3995">
      <w:pPr>
        <w:pStyle w:val="2"/>
      </w:pPr>
      <w:r w:rsidRPr="002F3995">
        <w:rPr>
          <w:rtl/>
        </w:rPr>
        <w:t>הרב אברהם יצחק הכהן קוק, אורות התשובה פרק טו אות י</w:t>
      </w:r>
      <w:r>
        <w:rPr>
          <w:rFonts w:hint="cs"/>
          <w:rtl/>
        </w:rPr>
        <w:t xml:space="preserve"> (עמ' 36)</w:t>
      </w:r>
    </w:p>
    <w:p w:rsidR="002F3995" w:rsidRDefault="002F3995" w:rsidP="002F3995">
      <w:pPr>
        <w:pStyle w:val="a3"/>
        <w:numPr>
          <w:ilvl w:val="0"/>
          <w:numId w:val="1"/>
        </w:numPr>
        <w:spacing w:line="360" w:lineRule="auto"/>
        <w:rPr>
          <w:sz w:val="24"/>
          <w:szCs w:val="24"/>
        </w:rPr>
      </w:pPr>
      <w:r>
        <w:rPr>
          <w:rFonts w:hint="cs"/>
          <w:sz w:val="24"/>
          <w:szCs w:val="24"/>
          <w:rtl/>
        </w:rPr>
        <w:t xml:space="preserve">סכם בקצרה </w:t>
      </w:r>
      <w:r>
        <w:rPr>
          <w:sz w:val="24"/>
          <w:szCs w:val="24"/>
          <w:rtl/>
        </w:rPr>
        <w:t>–</w:t>
      </w:r>
      <w:r>
        <w:rPr>
          <w:rFonts w:hint="cs"/>
          <w:sz w:val="24"/>
          <w:szCs w:val="24"/>
          <w:rtl/>
        </w:rPr>
        <w:t xml:space="preserve"> מי היה הראי"ה קוק </w:t>
      </w:r>
    </w:p>
    <w:p w:rsidR="002F3995" w:rsidRPr="002F3995" w:rsidRDefault="002F3995" w:rsidP="002F3995">
      <w:pPr>
        <w:pStyle w:val="a3"/>
        <w:numPr>
          <w:ilvl w:val="0"/>
          <w:numId w:val="1"/>
        </w:numPr>
        <w:spacing w:line="360" w:lineRule="auto"/>
        <w:rPr>
          <w:sz w:val="24"/>
          <w:szCs w:val="24"/>
        </w:rPr>
      </w:pPr>
      <w:r w:rsidRPr="002F3995">
        <w:rPr>
          <w:sz w:val="24"/>
          <w:szCs w:val="24"/>
          <w:rtl/>
        </w:rPr>
        <w:t>הסבר את דברי הראי"ה קוק: "התשובה הראשית...שישוב האדם אל עצמו".</w:t>
      </w:r>
    </w:p>
    <w:p w:rsidR="002F3995" w:rsidRPr="002F3995" w:rsidRDefault="002F3995" w:rsidP="002F3995">
      <w:pPr>
        <w:pStyle w:val="a3"/>
        <w:numPr>
          <w:ilvl w:val="0"/>
          <w:numId w:val="1"/>
        </w:numPr>
        <w:spacing w:line="360" w:lineRule="auto"/>
        <w:rPr>
          <w:sz w:val="24"/>
          <w:szCs w:val="24"/>
          <w:rtl/>
        </w:rPr>
      </w:pPr>
      <w:r w:rsidRPr="002F3995">
        <w:rPr>
          <w:sz w:val="24"/>
          <w:szCs w:val="24"/>
          <w:rtl/>
        </w:rPr>
        <w:t>מה בין התשובה מחטאים שתיאר הרמב"ם לבין ה'תשובה הראשית' של הראי"ה קוק?</w:t>
      </w:r>
    </w:p>
    <w:p w:rsidR="002F3995" w:rsidRPr="002F3995" w:rsidRDefault="002F3995" w:rsidP="000B1222">
      <w:pPr>
        <w:pStyle w:val="2"/>
      </w:pPr>
      <w:r w:rsidRPr="002F3995">
        <w:rPr>
          <w:rtl/>
        </w:rPr>
        <w:t>הרב עדין שטיינזלץ, חיי שנה, עמ' 323- 326</w:t>
      </w:r>
      <w:r>
        <w:rPr>
          <w:rFonts w:hint="cs"/>
          <w:rtl/>
        </w:rPr>
        <w:t xml:space="preserve"> (עמ' 3</w:t>
      </w:r>
      <w:r w:rsidR="000B1222">
        <w:rPr>
          <w:rFonts w:hint="cs"/>
          <w:rtl/>
        </w:rPr>
        <w:t>6</w:t>
      </w:r>
      <w:r>
        <w:rPr>
          <w:rFonts w:hint="cs"/>
          <w:rtl/>
        </w:rPr>
        <w:t>)</w:t>
      </w:r>
    </w:p>
    <w:p w:rsidR="002F3995" w:rsidRPr="002F3995" w:rsidRDefault="002F3995" w:rsidP="002F3995">
      <w:pPr>
        <w:pStyle w:val="a3"/>
        <w:numPr>
          <w:ilvl w:val="0"/>
          <w:numId w:val="1"/>
        </w:numPr>
        <w:spacing w:line="360" w:lineRule="auto"/>
        <w:rPr>
          <w:sz w:val="24"/>
          <w:szCs w:val="24"/>
        </w:rPr>
      </w:pPr>
      <w:r w:rsidRPr="002F3995">
        <w:rPr>
          <w:sz w:val="24"/>
          <w:szCs w:val="24"/>
          <w:rtl/>
        </w:rPr>
        <w:t xml:space="preserve">לאיזה מהתיאורים הקודמים דומה תיאורו של הרב עדין שטיינזלץ? הסבר. </w:t>
      </w:r>
    </w:p>
    <w:p w:rsidR="002F3995" w:rsidRPr="002F3995" w:rsidRDefault="002F3995" w:rsidP="002F3995">
      <w:pPr>
        <w:pStyle w:val="a3"/>
        <w:numPr>
          <w:ilvl w:val="0"/>
          <w:numId w:val="1"/>
        </w:numPr>
        <w:spacing w:line="360" w:lineRule="auto"/>
        <w:rPr>
          <w:sz w:val="24"/>
          <w:szCs w:val="24"/>
        </w:rPr>
      </w:pPr>
      <w:r w:rsidRPr="002F3995">
        <w:rPr>
          <w:sz w:val="24"/>
          <w:szCs w:val="24"/>
          <w:rtl/>
        </w:rPr>
        <w:lastRenderedPageBreak/>
        <w:t xml:space="preserve">כיצד מוכיח הרב שטיינזלץ כי התשובה אינה קשורה בחטא? </w:t>
      </w:r>
    </w:p>
    <w:p w:rsidR="002F3995" w:rsidRPr="002F3995" w:rsidRDefault="002F3995" w:rsidP="002F3995">
      <w:pPr>
        <w:pStyle w:val="a3"/>
        <w:numPr>
          <w:ilvl w:val="0"/>
          <w:numId w:val="1"/>
        </w:numPr>
        <w:spacing w:line="360" w:lineRule="auto"/>
        <w:rPr>
          <w:sz w:val="24"/>
          <w:szCs w:val="24"/>
        </w:rPr>
      </w:pPr>
      <w:r w:rsidRPr="002F3995">
        <w:rPr>
          <w:sz w:val="24"/>
          <w:szCs w:val="24"/>
          <w:rtl/>
        </w:rPr>
        <w:t>נסה לחשוב ע"פ דברים אלה, מה יהיה הערך של וידוי דברים? מה יהיה נוסחו?</w:t>
      </w:r>
    </w:p>
    <w:p w:rsidR="002F3995" w:rsidRPr="002F3995" w:rsidRDefault="00F40313" w:rsidP="002F3995">
      <w:pPr>
        <w:pStyle w:val="1"/>
      </w:pPr>
      <w:r>
        <w:rPr>
          <w:rFonts w:hint="cs"/>
          <w:rtl/>
        </w:rPr>
        <w:t xml:space="preserve">חלק ב. </w:t>
      </w:r>
      <w:r w:rsidR="002F3995" w:rsidRPr="002F3995">
        <w:rPr>
          <w:rtl/>
        </w:rPr>
        <w:t>דרכי תשובה</w:t>
      </w:r>
    </w:p>
    <w:p w:rsidR="002F3995" w:rsidRPr="002F3995" w:rsidRDefault="002F3995" w:rsidP="002F3995">
      <w:pPr>
        <w:pStyle w:val="2"/>
      </w:pPr>
      <w:r w:rsidRPr="002F3995">
        <w:rPr>
          <w:rtl/>
        </w:rPr>
        <w:t xml:space="preserve">הרב משה פיינשטיין, שו"ת אגרות משה חושן משפט חלק א סימן פח </w:t>
      </w:r>
      <w:r>
        <w:rPr>
          <w:rFonts w:hint="cs"/>
          <w:rtl/>
        </w:rPr>
        <w:t>(עמ' 3</w:t>
      </w:r>
      <w:r w:rsidR="004211B7">
        <w:rPr>
          <w:rFonts w:hint="cs"/>
          <w:rtl/>
        </w:rPr>
        <w:t>7</w:t>
      </w:r>
      <w:bookmarkStart w:id="0" w:name="_GoBack"/>
      <w:bookmarkEnd w:id="0"/>
      <w:r>
        <w:rPr>
          <w:rFonts w:hint="cs"/>
          <w:rtl/>
        </w:rPr>
        <w:t>)</w:t>
      </w:r>
    </w:p>
    <w:p w:rsidR="00E63186" w:rsidRDefault="00E63186" w:rsidP="008A3212">
      <w:pPr>
        <w:pStyle w:val="a3"/>
        <w:numPr>
          <w:ilvl w:val="0"/>
          <w:numId w:val="1"/>
        </w:numPr>
        <w:spacing w:line="360" w:lineRule="auto"/>
        <w:rPr>
          <w:sz w:val="24"/>
          <w:szCs w:val="24"/>
        </w:rPr>
      </w:pPr>
      <w:r>
        <w:rPr>
          <w:rFonts w:hint="cs"/>
          <w:sz w:val="24"/>
          <w:szCs w:val="24"/>
          <w:rtl/>
        </w:rPr>
        <w:t>סכם בקצרה מי היה הרב פיינשטיין.</w:t>
      </w:r>
    </w:p>
    <w:p w:rsidR="00E63186" w:rsidRDefault="00E63186" w:rsidP="008A3212">
      <w:pPr>
        <w:pStyle w:val="a3"/>
        <w:numPr>
          <w:ilvl w:val="0"/>
          <w:numId w:val="1"/>
        </w:numPr>
        <w:spacing w:line="360" w:lineRule="auto"/>
        <w:rPr>
          <w:sz w:val="24"/>
          <w:szCs w:val="24"/>
        </w:rPr>
      </w:pPr>
      <w:r>
        <w:rPr>
          <w:rFonts w:hint="cs"/>
          <w:sz w:val="24"/>
          <w:szCs w:val="24"/>
          <w:rtl/>
        </w:rPr>
        <w:t xml:space="preserve">תאר באופן כללי את המקרה שהרב פיינשטיין עוסק בו. </w:t>
      </w:r>
    </w:p>
    <w:p w:rsidR="00863E69" w:rsidRPr="00863E69" w:rsidRDefault="00863E69" w:rsidP="008A3212">
      <w:pPr>
        <w:pStyle w:val="a3"/>
        <w:numPr>
          <w:ilvl w:val="0"/>
          <w:numId w:val="1"/>
        </w:numPr>
        <w:spacing w:line="360" w:lineRule="auto"/>
        <w:rPr>
          <w:sz w:val="24"/>
          <w:szCs w:val="24"/>
        </w:rPr>
      </w:pPr>
      <w:r w:rsidRPr="00863E69">
        <w:rPr>
          <w:rFonts w:hint="cs"/>
          <w:sz w:val="24"/>
          <w:szCs w:val="24"/>
          <w:rtl/>
        </w:rPr>
        <w:t xml:space="preserve">לפי הרב פיינשטיין, מה צריך לעשות </w:t>
      </w:r>
      <w:r w:rsidR="008A3212">
        <w:rPr>
          <w:rFonts w:hint="cs"/>
          <w:sz w:val="24"/>
          <w:szCs w:val="24"/>
          <w:rtl/>
        </w:rPr>
        <w:t xml:space="preserve">אדם </w:t>
      </w:r>
      <w:r w:rsidRPr="00863E69">
        <w:rPr>
          <w:rFonts w:hint="cs"/>
          <w:sz w:val="24"/>
          <w:szCs w:val="24"/>
          <w:rtl/>
        </w:rPr>
        <w:t>במקרים הבאים כדי לחזור בתשובה שלמה:</w:t>
      </w:r>
    </w:p>
    <w:p w:rsidR="00863E69" w:rsidRDefault="00863E69" w:rsidP="008A3212">
      <w:pPr>
        <w:pStyle w:val="a3"/>
        <w:numPr>
          <w:ilvl w:val="1"/>
          <w:numId w:val="1"/>
        </w:numPr>
        <w:spacing w:line="360" w:lineRule="auto"/>
        <w:rPr>
          <w:sz w:val="24"/>
          <w:szCs w:val="24"/>
        </w:rPr>
      </w:pPr>
      <w:r>
        <w:rPr>
          <w:rFonts w:hint="cs"/>
          <w:sz w:val="24"/>
          <w:szCs w:val="24"/>
          <w:rtl/>
        </w:rPr>
        <w:t>לא יודע ממי גנב.</w:t>
      </w:r>
    </w:p>
    <w:p w:rsidR="00863E69" w:rsidRDefault="00863E69" w:rsidP="008A3212">
      <w:pPr>
        <w:pStyle w:val="a3"/>
        <w:numPr>
          <w:ilvl w:val="1"/>
          <w:numId w:val="1"/>
        </w:numPr>
        <w:spacing w:line="360" w:lineRule="auto"/>
        <w:rPr>
          <w:sz w:val="24"/>
          <w:szCs w:val="24"/>
        </w:rPr>
      </w:pPr>
      <w:r>
        <w:rPr>
          <w:rFonts w:hint="cs"/>
          <w:sz w:val="24"/>
          <w:szCs w:val="24"/>
          <w:rtl/>
        </w:rPr>
        <w:t>גנב כשהיה קטן</w:t>
      </w:r>
    </w:p>
    <w:p w:rsidR="00863E69" w:rsidRDefault="00863E69" w:rsidP="008A3212">
      <w:pPr>
        <w:pStyle w:val="a3"/>
        <w:numPr>
          <w:ilvl w:val="2"/>
          <w:numId w:val="1"/>
        </w:numPr>
        <w:spacing w:line="360" w:lineRule="auto"/>
        <w:rPr>
          <w:sz w:val="24"/>
          <w:szCs w:val="24"/>
        </w:rPr>
      </w:pPr>
      <w:r>
        <w:rPr>
          <w:rFonts w:hint="cs"/>
          <w:sz w:val="24"/>
          <w:szCs w:val="24"/>
          <w:rtl/>
        </w:rPr>
        <w:t>מה שגנב אבד (נהרס/נעלם/נגמר)</w:t>
      </w:r>
    </w:p>
    <w:p w:rsidR="00863E69" w:rsidRDefault="00863E69" w:rsidP="008A3212">
      <w:pPr>
        <w:pStyle w:val="a3"/>
        <w:numPr>
          <w:ilvl w:val="2"/>
          <w:numId w:val="1"/>
        </w:numPr>
        <w:spacing w:line="360" w:lineRule="auto"/>
        <w:rPr>
          <w:sz w:val="24"/>
          <w:szCs w:val="24"/>
        </w:rPr>
      </w:pPr>
      <w:r>
        <w:rPr>
          <w:rFonts w:hint="cs"/>
          <w:sz w:val="24"/>
          <w:szCs w:val="24"/>
          <w:rtl/>
        </w:rPr>
        <w:t>מה שנגנב היה בידו כשהיה גדול</w:t>
      </w:r>
    </w:p>
    <w:p w:rsidR="00863E69" w:rsidRDefault="00863E69" w:rsidP="008A3212">
      <w:pPr>
        <w:pStyle w:val="a3"/>
        <w:numPr>
          <w:ilvl w:val="1"/>
          <w:numId w:val="1"/>
        </w:numPr>
        <w:spacing w:line="360" w:lineRule="auto"/>
        <w:rPr>
          <w:sz w:val="24"/>
          <w:szCs w:val="24"/>
        </w:rPr>
      </w:pPr>
      <w:r>
        <w:rPr>
          <w:rFonts w:hint="cs"/>
          <w:sz w:val="24"/>
          <w:szCs w:val="24"/>
          <w:rtl/>
        </w:rPr>
        <w:t>גנב מאבא או אמא שלו וחושב שהם סלחו לו, אבל הוא לא בטוח בכך.</w:t>
      </w:r>
    </w:p>
    <w:p w:rsidR="00863E69" w:rsidRDefault="00E63186" w:rsidP="008A3212">
      <w:pPr>
        <w:pStyle w:val="a3"/>
        <w:numPr>
          <w:ilvl w:val="1"/>
          <w:numId w:val="1"/>
        </w:numPr>
        <w:spacing w:line="360" w:lineRule="auto"/>
        <w:rPr>
          <w:sz w:val="24"/>
          <w:szCs w:val="24"/>
        </w:rPr>
      </w:pPr>
      <w:r>
        <w:rPr>
          <w:rFonts w:hint="cs"/>
          <w:sz w:val="24"/>
          <w:szCs w:val="24"/>
          <w:rtl/>
        </w:rPr>
        <w:t xml:space="preserve">לא רק שלא יודע ממי גנב, גם </w:t>
      </w:r>
      <w:r w:rsidR="00863E69">
        <w:rPr>
          <w:rFonts w:hint="cs"/>
          <w:sz w:val="24"/>
          <w:szCs w:val="24"/>
          <w:rtl/>
        </w:rPr>
        <w:t>לא יודע כמה גנב.</w:t>
      </w:r>
    </w:p>
    <w:p w:rsidR="00E63186" w:rsidRDefault="008A3212" w:rsidP="008A3212">
      <w:pPr>
        <w:pStyle w:val="a3"/>
        <w:numPr>
          <w:ilvl w:val="1"/>
          <w:numId w:val="1"/>
        </w:numPr>
        <w:spacing w:line="360" w:lineRule="auto"/>
        <w:rPr>
          <w:sz w:val="24"/>
          <w:szCs w:val="24"/>
        </w:rPr>
      </w:pPr>
      <w:r>
        <w:rPr>
          <w:rFonts w:hint="cs"/>
          <w:sz w:val="24"/>
          <w:szCs w:val="24"/>
          <w:rtl/>
        </w:rPr>
        <w:t>לקח כסף עבור כך עבודה כגבאי צדקה, ואנשים חשבו שהוא מתנדב.</w:t>
      </w:r>
    </w:p>
    <w:p w:rsidR="002F3995" w:rsidRDefault="002F3995" w:rsidP="00193EBD">
      <w:pPr>
        <w:rPr>
          <w:rtl/>
        </w:rPr>
      </w:pPr>
    </w:p>
    <w:p w:rsidR="002F3995" w:rsidRPr="002F3995" w:rsidRDefault="002F3995" w:rsidP="002F3995">
      <w:pPr>
        <w:pStyle w:val="2"/>
      </w:pPr>
      <w:r>
        <w:rPr>
          <w:rFonts w:hint="cs"/>
          <w:rtl/>
        </w:rPr>
        <w:t>הרב עובדיה יוסף, שו"ת יחווה דעת חלק ה' סימן מד (עמ' 37-38)</w:t>
      </w:r>
    </w:p>
    <w:p w:rsidR="008A3212" w:rsidRDefault="008A3212" w:rsidP="008A3212">
      <w:pPr>
        <w:pStyle w:val="a3"/>
        <w:numPr>
          <w:ilvl w:val="0"/>
          <w:numId w:val="1"/>
        </w:numPr>
        <w:spacing w:line="360" w:lineRule="auto"/>
        <w:rPr>
          <w:sz w:val="24"/>
          <w:szCs w:val="24"/>
        </w:rPr>
      </w:pPr>
      <w:r>
        <w:rPr>
          <w:rFonts w:hint="cs"/>
          <w:sz w:val="24"/>
          <w:szCs w:val="24"/>
          <w:rtl/>
        </w:rPr>
        <w:t>הסבר את השאלה שהרב עובדיה עוסק בה.</w:t>
      </w:r>
    </w:p>
    <w:p w:rsidR="008A3212" w:rsidRDefault="008A3212" w:rsidP="008A3212">
      <w:pPr>
        <w:pStyle w:val="a3"/>
        <w:numPr>
          <w:ilvl w:val="0"/>
          <w:numId w:val="1"/>
        </w:numPr>
        <w:spacing w:line="360" w:lineRule="auto"/>
        <w:rPr>
          <w:sz w:val="24"/>
          <w:szCs w:val="24"/>
        </w:rPr>
      </w:pPr>
      <w:r>
        <w:rPr>
          <w:rFonts w:hint="cs"/>
          <w:sz w:val="24"/>
          <w:szCs w:val="24"/>
          <w:rtl/>
        </w:rPr>
        <w:t>מה תשובתו של הרב עובדיה לעניין זה?</w:t>
      </w:r>
    </w:p>
    <w:p w:rsidR="008A3212" w:rsidRDefault="008A3212" w:rsidP="008A3212">
      <w:pPr>
        <w:pStyle w:val="a3"/>
        <w:numPr>
          <w:ilvl w:val="0"/>
          <w:numId w:val="1"/>
        </w:numPr>
        <w:spacing w:line="360" w:lineRule="auto"/>
        <w:rPr>
          <w:sz w:val="24"/>
          <w:szCs w:val="24"/>
        </w:rPr>
      </w:pPr>
      <w:r>
        <w:rPr>
          <w:rFonts w:hint="cs"/>
          <w:sz w:val="24"/>
          <w:szCs w:val="24"/>
          <w:rtl/>
        </w:rPr>
        <w:t>איזה דבר חשוב מוסיף הרב עובדיה  - מה חשוב שאדם יעשה כל שנה לפני יום הכיפורים?</w:t>
      </w:r>
    </w:p>
    <w:p w:rsidR="002F3995" w:rsidRDefault="002F3995" w:rsidP="002F3995">
      <w:pPr>
        <w:pStyle w:val="a3"/>
        <w:spacing w:line="360" w:lineRule="auto"/>
        <w:ind w:left="360"/>
        <w:rPr>
          <w:sz w:val="24"/>
          <w:szCs w:val="24"/>
        </w:rPr>
      </w:pPr>
    </w:p>
    <w:p w:rsidR="002F3995" w:rsidRPr="002F3995" w:rsidRDefault="002F3995" w:rsidP="002F3995">
      <w:pPr>
        <w:pStyle w:val="2"/>
      </w:pPr>
      <w:r>
        <w:rPr>
          <w:rFonts w:hint="cs"/>
          <w:rtl/>
        </w:rPr>
        <w:t>הרב נחום רבינוביץ, שו"ת שיח נחום סימן צב (עמ' 38-39)</w:t>
      </w:r>
    </w:p>
    <w:p w:rsidR="008A3212" w:rsidRDefault="008A3212" w:rsidP="008A3212">
      <w:pPr>
        <w:pStyle w:val="a3"/>
        <w:numPr>
          <w:ilvl w:val="0"/>
          <w:numId w:val="1"/>
        </w:numPr>
        <w:spacing w:line="360" w:lineRule="auto"/>
        <w:rPr>
          <w:sz w:val="24"/>
          <w:szCs w:val="24"/>
        </w:rPr>
      </w:pPr>
      <w:r>
        <w:rPr>
          <w:rFonts w:hint="cs"/>
          <w:sz w:val="24"/>
          <w:szCs w:val="24"/>
          <w:rtl/>
        </w:rPr>
        <w:t>א. מה דרך התשובה שמציע הרב רבינוביץ למי שיש לו כל הזמן הרהורים בתחום המיני, או שיש לו בעיה של קרי לילה? הסבר את העיקרון של הדברים!</w:t>
      </w:r>
    </w:p>
    <w:p w:rsidR="008A3212" w:rsidRPr="00863E69" w:rsidRDefault="008A3212" w:rsidP="008A3212">
      <w:pPr>
        <w:pStyle w:val="a3"/>
        <w:spacing w:line="360" w:lineRule="auto"/>
        <w:ind w:left="360"/>
        <w:rPr>
          <w:sz w:val="24"/>
          <w:szCs w:val="24"/>
        </w:rPr>
      </w:pPr>
      <w:r>
        <w:rPr>
          <w:rFonts w:hint="cs"/>
          <w:sz w:val="24"/>
          <w:szCs w:val="24"/>
          <w:rtl/>
        </w:rPr>
        <w:t>ב. במה הדברים שונים מדרך התשובה בחטאים אחרים?</w:t>
      </w:r>
    </w:p>
    <w:sectPr w:rsidR="008A3212" w:rsidRPr="00863E69" w:rsidSect="005D32A1">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836B1" w:rsidRDefault="00C836B1" w:rsidP="006756E3">
      <w:pPr>
        <w:spacing w:after="0" w:line="240" w:lineRule="auto"/>
      </w:pPr>
      <w:r>
        <w:separator/>
      </w:r>
    </w:p>
  </w:endnote>
  <w:endnote w:type="continuationSeparator" w:id="0">
    <w:p w:rsidR="00C836B1" w:rsidRDefault="00C836B1" w:rsidP="006756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836B1" w:rsidRDefault="00C836B1" w:rsidP="006756E3">
      <w:pPr>
        <w:spacing w:after="0" w:line="240" w:lineRule="auto"/>
      </w:pPr>
      <w:r>
        <w:separator/>
      </w:r>
    </w:p>
  </w:footnote>
  <w:footnote w:type="continuationSeparator" w:id="0">
    <w:p w:rsidR="00C836B1" w:rsidRDefault="00C836B1" w:rsidP="006756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79132703"/>
      <w:docPartObj>
        <w:docPartGallery w:val="Page Numbers (Top of Page)"/>
        <w:docPartUnique/>
      </w:docPartObj>
    </w:sdtPr>
    <w:sdtEndPr/>
    <w:sdtContent>
      <w:p w:rsidR="000B1222" w:rsidRDefault="000B1222">
        <w:pPr>
          <w:pStyle w:val="a4"/>
          <w:jc w:val="center"/>
          <w:rPr>
            <w:rtl/>
            <w:cs/>
          </w:rPr>
        </w:pPr>
        <w:r>
          <w:fldChar w:fldCharType="begin"/>
        </w:r>
        <w:r>
          <w:rPr>
            <w:rtl/>
            <w:cs/>
          </w:rPr>
          <w:instrText>PAGE   \* MERGEFORMAT</w:instrText>
        </w:r>
        <w:r>
          <w:fldChar w:fldCharType="separate"/>
        </w:r>
        <w:r w:rsidR="00386F0A" w:rsidRPr="00386F0A">
          <w:rPr>
            <w:noProof/>
            <w:rtl/>
            <w:lang w:val="he-IL"/>
          </w:rPr>
          <w:t>1</w:t>
        </w:r>
        <w:r>
          <w:fldChar w:fldCharType="end"/>
        </w:r>
      </w:p>
    </w:sdtContent>
  </w:sdt>
  <w:p w:rsidR="000B1222" w:rsidRPr="006C5C56" w:rsidRDefault="000B1222" w:rsidP="006C5C56">
    <w:pPr>
      <w:pStyle w:val="a4"/>
      <w:rPr>
        <w:rtl/>
      </w:rPr>
    </w:pPr>
    <w:r w:rsidRPr="006C5C56">
      <w:rPr>
        <w:rFonts w:hint="cs"/>
        <w:rtl/>
      </w:rPr>
      <w:t>בס"ד</w:t>
    </w:r>
  </w:p>
  <w:p w:rsidR="000B1222" w:rsidRPr="006C5C56" w:rsidRDefault="000B1222" w:rsidP="006C5C56">
    <w:pPr>
      <w:pStyle w:val="a4"/>
      <w:jc w:val="center"/>
      <w:rPr>
        <w:b/>
        <w:bCs/>
        <w:sz w:val="36"/>
        <w:szCs w:val="36"/>
        <w:rtl/>
      </w:rPr>
    </w:pPr>
    <w:r>
      <w:rPr>
        <w:rFonts w:hint="cs"/>
        <w:b/>
        <w:bCs/>
        <w:sz w:val="36"/>
        <w:szCs w:val="36"/>
        <w:rtl/>
      </w:rPr>
      <w:t>דפ</w:t>
    </w:r>
    <w:r w:rsidR="00386F0A">
      <w:rPr>
        <w:rFonts w:hint="cs"/>
        <w:b/>
        <w:bCs/>
        <w:sz w:val="36"/>
        <w:szCs w:val="36"/>
        <w:rtl/>
      </w:rPr>
      <w:t>י</w:t>
    </w:r>
    <w:r w:rsidRPr="006C5C56">
      <w:rPr>
        <w:rFonts w:hint="cs"/>
        <w:b/>
        <w:bCs/>
        <w:sz w:val="36"/>
        <w:szCs w:val="36"/>
        <w:rtl/>
      </w:rPr>
      <w:t xml:space="preserve"> עבודה בהלכה </w:t>
    </w:r>
    <w:r w:rsidRPr="006C5C56">
      <w:rPr>
        <w:b/>
        <w:bCs/>
        <w:sz w:val="36"/>
        <w:szCs w:val="36"/>
        <w:rtl/>
      </w:rPr>
      <w:t>–</w:t>
    </w:r>
    <w:r w:rsidRPr="006C5C56">
      <w:rPr>
        <w:rFonts w:hint="cs"/>
        <w:b/>
        <w:bCs/>
        <w:sz w:val="36"/>
        <w:szCs w:val="36"/>
        <w:rtl/>
      </w:rPr>
      <w:t xml:space="preserve"> דרכי תשובה (עמ' 3</w:t>
    </w:r>
    <w:r>
      <w:rPr>
        <w:rFonts w:hint="cs"/>
        <w:b/>
        <w:bCs/>
        <w:sz w:val="36"/>
        <w:szCs w:val="36"/>
        <w:rtl/>
      </w:rPr>
      <w:t>5</w:t>
    </w:r>
    <w:r w:rsidRPr="006C5C56">
      <w:rPr>
        <w:rFonts w:hint="cs"/>
        <w:b/>
        <w:bCs/>
        <w:sz w:val="36"/>
        <w:szCs w:val="36"/>
        <w:rtl/>
      </w:rPr>
      <w:t>-39)</w:t>
    </w:r>
  </w:p>
  <w:p w:rsidR="000B1222" w:rsidRDefault="000B122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7B73CD"/>
    <w:multiLevelType w:val="multilevel"/>
    <w:tmpl w:val="8544219A"/>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1" w15:restartNumberingAfterBreak="0">
    <w:nsid w:val="2E187ADC"/>
    <w:multiLevelType w:val="multilevel"/>
    <w:tmpl w:val="4EA45B00"/>
    <w:lvl w:ilvl="0">
      <w:start w:val="1"/>
      <w:numFmt w:val="bullet"/>
      <w:lvlText w:val="●"/>
      <w:lvlJc w:val="left"/>
      <w:pPr>
        <w:ind w:left="785" w:hanging="360"/>
      </w:pPr>
      <w:rPr>
        <w:rFonts w:ascii="Arial" w:eastAsia="Arial" w:hAnsi="Arial" w:cs="Arial"/>
        <w:sz w:val="24"/>
        <w:szCs w:val="24"/>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2" w15:restartNumberingAfterBreak="0">
    <w:nsid w:val="3A1332D1"/>
    <w:multiLevelType w:val="multilevel"/>
    <w:tmpl w:val="7E62D1DA"/>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3" w15:restartNumberingAfterBreak="0">
    <w:nsid w:val="3F40357D"/>
    <w:multiLevelType w:val="multilevel"/>
    <w:tmpl w:val="7420541C"/>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4" w15:restartNumberingAfterBreak="0">
    <w:nsid w:val="43653B6C"/>
    <w:multiLevelType w:val="multilevel"/>
    <w:tmpl w:val="D7F44D42"/>
    <w:lvl w:ilvl="0">
      <w:start w:val="1"/>
      <w:numFmt w:val="bullet"/>
      <w:lvlText w:val="●"/>
      <w:lvlJc w:val="left"/>
      <w:pPr>
        <w:ind w:left="785" w:hanging="360"/>
      </w:pPr>
      <w:rPr>
        <w:rFonts w:ascii="Arial" w:eastAsia="Arial" w:hAnsi="Arial" w:cs="Arial"/>
        <w:sz w:val="24"/>
        <w:szCs w:val="24"/>
        <w:vertAlign w:val="baseline"/>
      </w:rPr>
    </w:lvl>
    <w:lvl w:ilvl="1">
      <w:start w:val="1"/>
      <w:numFmt w:val="bullet"/>
      <w:lvlText w:val="o"/>
      <w:lvlJc w:val="left"/>
      <w:pPr>
        <w:ind w:left="1505" w:hanging="360"/>
      </w:pPr>
      <w:rPr>
        <w:rFonts w:ascii="Arial" w:eastAsia="Arial" w:hAnsi="Arial" w:cs="Arial"/>
        <w:vertAlign w:val="baseline"/>
      </w:rPr>
    </w:lvl>
    <w:lvl w:ilvl="2">
      <w:start w:val="1"/>
      <w:numFmt w:val="bullet"/>
      <w:lvlText w:val="▪"/>
      <w:lvlJc w:val="left"/>
      <w:pPr>
        <w:ind w:left="2225" w:hanging="360"/>
      </w:pPr>
      <w:rPr>
        <w:rFonts w:ascii="Arial" w:eastAsia="Arial" w:hAnsi="Arial" w:cs="Arial"/>
        <w:vertAlign w:val="baseline"/>
      </w:rPr>
    </w:lvl>
    <w:lvl w:ilvl="3">
      <w:start w:val="1"/>
      <w:numFmt w:val="bullet"/>
      <w:lvlText w:val="●"/>
      <w:lvlJc w:val="left"/>
      <w:pPr>
        <w:ind w:left="2945" w:hanging="360"/>
      </w:pPr>
      <w:rPr>
        <w:rFonts w:ascii="Arial" w:eastAsia="Arial" w:hAnsi="Arial" w:cs="Arial"/>
        <w:vertAlign w:val="baseline"/>
      </w:rPr>
    </w:lvl>
    <w:lvl w:ilvl="4">
      <w:start w:val="1"/>
      <w:numFmt w:val="bullet"/>
      <w:lvlText w:val="o"/>
      <w:lvlJc w:val="left"/>
      <w:pPr>
        <w:ind w:left="3665" w:hanging="360"/>
      </w:pPr>
      <w:rPr>
        <w:rFonts w:ascii="Arial" w:eastAsia="Arial" w:hAnsi="Arial" w:cs="Arial"/>
        <w:vertAlign w:val="baseline"/>
      </w:rPr>
    </w:lvl>
    <w:lvl w:ilvl="5">
      <w:start w:val="1"/>
      <w:numFmt w:val="bullet"/>
      <w:lvlText w:val="▪"/>
      <w:lvlJc w:val="left"/>
      <w:pPr>
        <w:ind w:left="4385" w:hanging="360"/>
      </w:pPr>
      <w:rPr>
        <w:rFonts w:ascii="Arial" w:eastAsia="Arial" w:hAnsi="Arial" w:cs="Arial"/>
        <w:vertAlign w:val="baseline"/>
      </w:rPr>
    </w:lvl>
    <w:lvl w:ilvl="6">
      <w:start w:val="1"/>
      <w:numFmt w:val="bullet"/>
      <w:lvlText w:val="●"/>
      <w:lvlJc w:val="left"/>
      <w:pPr>
        <w:ind w:left="5105" w:hanging="360"/>
      </w:pPr>
      <w:rPr>
        <w:rFonts w:ascii="Arial" w:eastAsia="Arial" w:hAnsi="Arial" w:cs="Arial"/>
        <w:vertAlign w:val="baseline"/>
      </w:rPr>
    </w:lvl>
    <w:lvl w:ilvl="7">
      <w:start w:val="1"/>
      <w:numFmt w:val="bullet"/>
      <w:lvlText w:val="o"/>
      <w:lvlJc w:val="left"/>
      <w:pPr>
        <w:ind w:left="5825" w:hanging="360"/>
      </w:pPr>
      <w:rPr>
        <w:rFonts w:ascii="Arial" w:eastAsia="Arial" w:hAnsi="Arial" w:cs="Arial"/>
        <w:vertAlign w:val="baseline"/>
      </w:rPr>
    </w:lvl>
    <w:lvl w:ilvl="8">
      <w:start w:val="1"/>
      <w:numFmt w:val="bullet"/>
      <w:lvlText w:val="▪"/>
      <w:lvlJc w:val="left"/>
      <w:pPr>
        <w:ind w:left="6545" w:hanging="360"/>
      </w:pPr>
      <w:rPr>
        <w:rFonts w:ascii="Arial" w:eastAsia="Arial" w:hAnsi="Arial" w:cs="Arial"/>
        <w:vertAlign w:val="baseline"/>
      </w:rPr>
    </w:lvl>
  </w:abstractNum>
  <w:abstractNum w:abstractNumId="5" w15:restartNumberingAfterBreak="0">
    <w:nsid w:val="69482CB6"/>
    <w:multiLevelType w:val="multilevel"/>
    <w:tmpl w:val="DF9A9E32"/>
    <w:lvl w:ilvl="0">
      <w:start w:val="1"/>
      <w:numFmt w:val="bullet"/>
      <w:lvlText w:val="●"/>
      <w:lvlJc w:val="left"/>
      <w:pPr>
        <w:ind w:left="720" w:hanging="360"/>
      </w:pPr>
      <w:rPr>
        <w:rFonts w:ascii="Arial" w:eastAsia="Arial" w:hAnsi="Arial" w:cs="Arial"/>
        <w:vertAlign w:val="baseline"/>
      </w:rPr>
    </w:lvl>
    <w:lvl w:ilvl="1">
      <w:start w:val="1"/>
      <w:numFmt w:val="bullet"/>
      <w:lvlText w:val="o"/>
      <w:lvlJc w:val="left"/>
      <w:pPr>
        <w:ind w:left="1440" w:hanging="360"/>
      </w:pPr>
      <w:rPr>
        <w:rFonts w:ascii="Arial" w:eastAsia="Arial" w:hAnsi="Arial" w:cs="Arial"/>
        <w:vertAlign w:val="baseline"/>
      </w:rPr>
    </w:lvl>
    <w:lvl w:ilvl="2">
      <w:start w:val="1"/>
      <w:numFmt w:val="bullet"/>
      <w:lvlText w:val="▪"/>
      <w:lvlJc w:val="left"/>
      <w:pPr>
        <w:ind w:left="2160" w:hanging="360"/>
      </w:pPr>
      <w:rPr>
        <w:rFonts w:ascii="Arial" w:eastAsia="Arial" w:hAnsi="Arial" w:cs="Arial"/>
        <w:vertAlign w:val="baseline"/>
      </w:rPr>
    </w:lvl>
    <w:lvl w:ilvl="3">
      <w:start w:val="1"/>
      <w:numFmt w:val="bullet"/>
      <w:lvlText w:val="●"/>
      <w:lvlJc w:val="left"/>
      <w:pPr>
        <w:ind w:left="2880" w:hanging="360"/>
      </w:pPr>
      <w:rPr>
        <w:rFonts w:ascii="Arial" w:eastAsia="Arial" w:hAnsi="Arial" w:cs="Arial"/>
        <w:vertAlign w:val="baseline"/>
      </w:rPr>
    </w:lvl>
    <w:lvl w:ilvl="4">
      <w:start w:val="1"/>
      <w:numFmt w:val="bullet"/>
      <w:lvlText w:val="o"/>
      <w:lvlJc w:val="left"/>
      <w:pPr>
        <w:ind w:left="3600" w:hanging="360"/>
      </w:pPr>
      <w:rPr>
        <w:rFonts w:ascii="Arial" w:eastAsia="Arial" w:hAnsi="Arial" w:cs="Arial"/>
        <w:vertAlign w:val="baseline"/>
      </w:rPr>
    </w:lvl>
    <w:lvl w:ilvl="5">
      <w:start w:val="1"/>
      <w:numFmt w:val="bullet"/>
      <w:lvlText w:val="▪"/>
      <w:lvlJc w:val="left"/>
      <w:pPr>
        <w:ind w:left="4320" w:hanging="360"/>
      </w:pPr>
      <w:rPr>
        <w:rFonts w:ascii="Arial" w:eastAsia="Arial" w:hAnsi="Arial" w:cs="Arial"/>
        <w:vertAlign w:val="baseline"/>
      </w:rPr>
    </w:lvl>
    <w:lvl w:ilvl="6">
      <w:start w:val="1"/>
      <w:numFmt w:val="bullet"/>
      <w:lvlText w:val="●"/>
      <w:lvlJc w:val="left"/>
      <w:pPr>
        <w:ind w:left="5040" w:hanging="360"/>
      </w:pPr>
      <w:rPr>
        <w:rFonts w:ascii="Arial" w:eastAsia="Arial" w:hAnsi="Arial" w:cs="Arial"/>
        <w:vertAlign w:val="baseline"/>
      </w:rPr>
    </w:lvl>
    <w:lvl w:ilvl="7">
      <w:start w:val="1"/>
      <w:numFmt w:val="bullet"/>
      <w:lvlText w:val="o"/>
      <w:lvlJc w:val="left"/>
      <w:pPr>
        <w:ind w:left="5760" w:hanging="360"/>
      </w:pPr>
      <w:rPr>
        <w:rFonts w:ascii="Arial" w:eastAsia="Arial" w:hAnsi="Arial" w:cs="Arial"/>
        <w:vertAlign w:val="baseline"/>
      </w:rPr>
    </w:lvl>
    <w:lvl w:ilvl="8">
      <w:start w:val="1"/>
      <w:numFmt w:val="bullet"/>
      <w:lvlText w:val="▪"/>
      <w:lvlJc w:val="left"/>
      <w:pPr>
        <w:ind w:left="6480" w:hanging="360"/>
      </w:pPr>
      <w:rPr>
        <w:rFonts w:ascii="Arial" w:eastAsia="Arial" w:hAnsi="Arial" w:cs="Arial"/>
        <w:vertAlign w:val="baseline"/>
      </w:rPr>
    </w:lvl>
  </w:abstractNum>
  <w:abstractNum w:abstractNumId="6" w15:restartNumberingAfterBreak="0">
    <w:nsid w:val="73BB0DBD"/>
    <w:multiLevelType w:val="hybridMultilevel"/>
    <w:tmpl w:val="EA461A74"/>
    <w:lvl w:ilvl="0" w:tplc="BFD27A14">
      <w:start w:val="1"/>
      <w:numFmt w:val="decimal"/>
      <w:lvlText w:val="%1."/>
      <w:lvlJc w:val="left"/>
      <w:pPr>
        <w:ind w:left="360" w:hanging="360"/>
      </w:pPr>
      <w:rPr>
        <w:b w:val="0"/>
        <w:bCs w:val="0"/>
      </w:rPr>
    </w:lvl>
    <w:lvl w:ilvl="1" w:tplc="04090013">
      <w:start w:val="1"/>
      <w:numFmt w:val="hebrew1"/>
      <w:lvlText w:val="%2."/>
      <w:lvlJc w:val="center"/>
      <w:pPr>
        <w:ind w:left="1069" w:hanging="360"/>
      </w:pPr>
    </w:lvl>
    <w:lvl w:ilvl="2" w:tplc="4AA05B8E">
      <w:start w:val="1"/>
      <w:numFmt w:val="upperRoman"/>
      <w:lvlText w:val="%3."/>
      <w:lvlJc w:val="right"/>
      <w:pPr>
        <w:ind w:left="1598" w:hanging="18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5"/>
  </w:num>
  <w:num w:numId="3">
    <w:abstractNumId w:val="4"/>
  </w:num>
  <w:num w:numId="4">
    <w:abstractNumId w:val="1"/>
  </w:num>
  <w:num w:numId="5">
    <w:abstractNumId w:val="3"/>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219E"/>
    <w:rsid w:val="000B1222"/>
    <w:rsid w:val="00193EBD"/>
    <w:rsid w:val="001E1E52"/>
    <w:rsid w:val="002F3995"/>
    <w:rsid w:val="00386F0A"/>
    <w:rsid w:val="003F6DB5"/>
    <w:rsid w:val="004211B7"/>
    <w:rsid w:val="0045219E"/>
    <w:rsid w:val="00492BE8"/>
    <w:rsid w:val="005D32A1"/>
    <w:rsid w:val="0066640C"/>
    <w:rsid w:val="006756E3"/>
    <w:rsid w:val="006C5C56"/>
    <w:rsid w:val="006E45DA"/>
    <w:rsid w:val="006F649A"/>
    <w:rsid w:val="00863E69"/>
    <w:rsid w:val="008A3212"/>
    <w:rsid w:val="00B20D81"/>
    <w:rsid w:val="00B306AA"/>
    <w:rsid w:val="00C836B1"/>
    <w:rsid w:val="00DB11A8"/>
    <w:rsid w:val="00E63186"/>
    <w:rsid w:val="00F403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79131"/>
  <w15:docId w15:val="{10D34EBC-B9A3-4512-BB4E-FAA8284D8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2F3995"/>
    <w:pPr>
      <w:keepNext/>
      <w:keepLines/>
      <w:spacing w:before="480" w:after="0"/>
      <w:jc w:val="center"/>
      <w:outlineLvl w:val="0"/>
    </w:pPr>
    <w:rPr>
      <w:rFonts w:asciiTheme="majorBidi" w:eastAsiaTheme="majorEastAsia" w:hAnsiTheme="majorBidi" w:cstheme="majorBidi"/>
      <w:b/>
      <w:bCs/>
      <w:sz w:val="36"/>
      <w:szCs w:val="36"/>
      <w:u w:val="single"/>
    </w:rPr>
  </w:style>
  <w:style w:type="paragraph" w:styleId="2">
    <w:name w:val="heading 2"/>
    <w:basedOn w:val="a"/>
    <w:next w:val="a"/>
    <w:link w:val="20"/>
    <w:uiPriority w:val="9"/>
    <w:unhideWhenUsed/>
    <w:qFormat/>
    <w:rsid w:val="002F3995"/>
    <w:pPr>
      <w:keepNext/>
      <w:keepLines/>
      <w:spacing w:before="200" w:after="0"/>
      <w:outlineLvl w:val="1"/>
    </w:pPr>
    <w:rPr>
      <w:rFonts w:asciiTheme="majorHAnsi" w:eastAsiaTheme="majorEastAsia" w:hAnsiTheme="majorHAnsi" w:cstheme="majorBidi"/>
      <w:b/>
      <w:bCs/>
      <w:i/>
      <w:iCs/>
      <w:sz w:val="30"/>
      <w:szCs w:val="3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3E69"/>
    <w:pPr>
      <w:ind w:left="720"/>
      <w:contextualSpacing/>
    </w:pPr>
  </w:style>
  <w:style w:type="paragraph" w:styleId="a4">
    <w:name w:val="header"/>
    <w:basedOn w:val="a"/>
    <w:link w:val="a5"/>
    <w:uiPriority w:val="99"/>
    <w:unhideWhenUsed/>
    <w:rsid w:val="006756E3"/>
    <w:pPr>
      <w:tabs>
        <w:tab w:val="center" w:pos="4153"/>
        <w:tab w:val="right" w:pos="8306"/>
      </w:tabs>
      <w:spacing w:after="0" w:line="240" w:lineRule="auto"/>
    </w:pPr>
  </w:style>
  <w:style w:type="character" w:customStyle="1" w:styleId="a5">
    <w:name w:val="כותרת עליונה תו"/>
    <w:basedOn w:val="a0"/>
    <w:link w:val="a4"/>
    <w:uiPriority w:val="99"/>
    <w:rsid w:val="006756E3"/>
  </w:style>
  <w:style w:type="paragraph" w:styleId="a6">
    <w:name w:val="footer"/>
    <w:basedOn w:val="a"/>
    <w:link w:val="a7"/>
    <w:uiPriority w:val="99"/>
    <w:unhideWhenUsed/>
    <w:rsid w:val="006756E3"/>
    <w:pPr>
      <w:tabs>
        <w:tab w:val="center" w:pos="4153"/>
        <w:tab w:val="right" w:pos="8306"/>
      </w:tabs>
      <w:spacing w:after="0" w:line="240" w:lineRule="auto"/>
    </w:pPr>
  </w:style>
  <w:style w:type="character" w:customStyle="1" w:styleId="a7">
    <w:name w:val="כותרת תחתונה תו"/>
    <w:basedOn w:val="a0"/>
    <w:link w:val="a6"/>
    <w:uiPriority w:val="99"/>
    <w:rsid w:val="006756E3"/>
  </w:style>
  <w:style w:type="character" w:customStyle="1" w:styleId="10">
    <w:name w:val="כותרת 1 תו"/>
    <w:basedOn w:val="a0"/>
    <w:link w:val="1"/>
    <w:uiPriority w:val="9"/>
    <w:rsid w:val="002F3995"/>
    <w:rPr>
      <w:rFonts w:asciiTheme="majorBidi" w:eastAsiaTheme="majorEastAsia" w:hAnsiTheme="majorBidi" w:cstheme="majorBidi"/>
      <w:b/>
      <w:bCs/>
      <w:sz w:val="36"/>
      <w:szCs w:val="36"/>
      <w:u w:val="single"/>
    </w:rPr>
  </w:style>
  <w:style w:type="character" w:customStyle="1" w:styleId="20">
    <w:name w:val="כותרת 2 תו"/>
    <w:basedOn w:val="a0"/>
    <w:link w:val="2"/>
    <w:uiPriority w:val="9"/>
    <w:rsid w:val="002F3995"/>
    <w:rPr>
      <w:rFonts w:asciiTheme="majorHAnsi" w:eastAsiaTheme="majorEastAsia" w:hAnsiTheme="majorHAnsi" w:cstheme="majorBidi"/>
      <w:b/>
      <w:bCs/>
      <w:i/>
      <w:iCs/>
      <w:sz w:val="30"/>
      <w:szCs w:val="3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518</TotalTime>
  <Pages>2</Pages>
  <Words>367</Words>
  <Characters>1838</Characters>
  <Application>Microsoft Office Word</Application>
  <DocSecurity>0</DocSecurity>
  <Lines>15</Lines>
  <Paragraphs>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cp:lastPrinted>2017-09-08T05:58:00Z</cp:lastPrinted>
  <dcterms:created xsi:type="dcterms:W3CDTF">2017-08-31T23:18:00Z</dcterms:created>
  <dcterms:modified xsi:type="dcterms:W3CDTF">2020-09-25T07:09:00Z</dcterms:modified>
</cp:coreProperties>
</file>